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F75F" w14:textId="61C54C51" w:rsidR="00987485" w:rsidRDefault="00987485" w:rsidP="00987485">
      <w:pPr>
        <w:jc w:val="left"/>
        <w:rPr>
          <w:b/>
          <w:lang w:val="en-GB"/>
        </w:rPr>
      </w:pPr>
      <w:r>
        <w:rPr>
          <w:b/>
          <w:noProof/>
          <w:lang w:val="en-GB"/>
        </w:rPr>
        <w:drawing>
          <wp:inline distT="0" distB="0" distL="0" distR="0" wp14:anchorId="4FC749A3" wp14:editId="193F0839">
            <wp:extent cx="1498600" cy="151203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2189" cy="1515655"/>
                    </a:xfrm>
                    <a:prstGeom prst="rect">
                      <a:avLst/>
                    </a:prstGeom>
                    <a:noFill/>
                  </pic:spPr>
                </pic:pic>
              </a:graphicData>
            </a:graphic>
          </wp:inline>
        </w:drawing>
      </w:r>
      <w:r w:rsidR="00BA760D">
        <w:rPr>
          <w:b/>
          <w:noProof/>
          <w:lang w:val="en-GB"/>
        </w:rPr>
        <w:drawing>
          <wp:inline distT="0" distB="0" distL="0" distR="0" wp14:anchorId="7B2F5A89" wp14:editId="3A9BE6A8">
            <wp:extent cx="2560320" cy="1621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1621790"/>
                    </a:xfrm>
                    <a:prstGeom prst="rect">
                      <a:avLst/>
                    </a:prstGeom>
                    <a:noFill/>
                  </pic:spPr>
                </pic:pic>
              </a:graphicData>
            </a:graphic>
          </wp:inline>
        </w:drawing>
      </w:r>
      <w:r w:rsidR="00BA760D">
        <w:rPr>
          <w:b/>
          <w:noProof/>
          <w:lang w:val="en-GB"/>
        </w:rPr>
        <w:drawing>
          <wp:inline distT="0" distB="0" distL="0" distR="0" wp14:anchorId="727735B4" wp14:editId="4DB2DC96">
            <wp:extent cx="1335405" cy="168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682750"/>
                    </a:xfrm>
                    <a:prstGeom prst="rect">
                      <a:avLst/>
                    </a:prstGeom>
                    <a:noFill/>
                  </pic:spPr>
                </pic:pic>
              </a:graphicData>
            </a:graphic>
          </wp:inline>
        </w:drawing>
      </w:r>
    </w:p>
    <w:p w14:paraId="1ABF4194" w14:textId="77777777" w:rsidR="00987485" w:rsidRDefault="00987485" w:rsidP="00987485">
      <w:pPr>
        <w:jc w:val="center"/>
        <w:rPr>
          <w:b/>
          <w:lang w:val="en-GB"/>
        </w:rPr>
      </w:pPr>
    </w:p>
    <w:p w14:paraId="348260A4" w14:textId="18784488" w:rsidR="00987485" w:rsidRPr="00E53C19" w:rsidRDefault="00987485" w:rsidP="00232A92">
      <w:pPr>
        <w:jc w:val="center"/>
        <w:rPr>
          <w:b/>
          <w:sz w:val="32"/>
          <w:szCs w:val="32"/>
          <w:lang w:val="en-GB"/>
        </w:rPr>
      </w:pPr>
      <w:r w:rsidRPr="00E53C19">
        <w:rPr>
          <w:b/>
          <w:sz w:val="32"/>
          <w:szCs w:val="32"/>
          <w:lang w:val="en-GB"/>
        </w:rPr>
        <w:t>Transitioning to Circular Economies in a Transnational Legal Order</w:t>
      </w:r>
    </w:p>
    <w:p w14:paraId="13465F38" w14:textId="58E9E5E1" w:rsidR="00987485" w:rsidRPr="00E53C19" w:rsidRDefault="00987485" w:rsidP="00232A92">
      <w:pPr>
        <w:jc w:val="center"/>
        <w:rPr>
          <w:b/>
          <w:sz w:val="32"/>
          <w:szCs w:val="32"/>
          <w:lang w:val="en-GB"/>
        </w:rPr>
      </w:pPr>
      <w:r w:rsidRPr="00E53C19">
        <w:rPr>
          <w:b/>
          <w:sz w:val="32"/>
          <w:szCs w:val="32"/>
          <w:lang w:val="en-GB"/>
        </w:rPr>
        <w:t>Call for Papers</w:t>
      </w:r>
    </w:p>
    <w:p w14:paraId="2024C5BA" w14:textId="77777777" w:rsidR="00232A92" w:rsidRPr="00232A92" w:rsidRDefault="00232A92" w:rsidP="00232A92">
      <w:pPr>
        <w:jc w:val="center"/>
        <w:rPr>
          <w:b/>
          <w:sz w:val="28"/>
          <w:szCs w:val="28"/>
          <w:lang w:val="en-GB"/>
        </w:rPr>
      </w:pPr>
    </w:p>
    <w:p w14:paraId="535996D8" w14:textId="67E0ED40" w:rsidR="00232A92" w:rsidRDefault="00232A92" w:rsidP="00987485">
      <w:pPr>
        <w:rPr>
          <w:lang w:val="en-GB"/>
        </w:rPr>
      </w:pPr>
      <w:r w:rsidRPr="009F083A">
        <w:rPr>
          <w:lang w:val="en-GB"/>
        </w:rPr>
        <w:t xml:space="preserve">Theoretical, empirical, and doctrinal contributions </w:t>
      </w:r>
      <w:r>
        <w:rPr>
          <w:lang w:val="en-GB"/>
        </w:rPr>
        <w:t>are invited</w:t>
      </w:r>
      <w:r w:rsidRPr="009F083A">
        <w:rPr>
          <w:lang w:val="en-GB"/>
        </w:rPr>
        <w:t xml:space="preserve"> on circular economy and the law </w:t>
      </w:r>
      <w:r w:rsidRPr="00987485">
        <w:rPr>
          <w:lang w:val="en-GB"/>
        </w:rPr>
        <w:t xml:space="preserve">with the intention of submitting a </w:t>
      </w:r>
      <w:r>
        <w:rPr>
          <w:lang w:val="en-GB"/>
        </w:rPr>
        <w:t>S</w:t>
      </w:r>
      <w:r w:rsidRPr="00987485">
        <w:rPr>
          <w:lang w:val="en-GB"/>
        </w:rPr>
        <w:t xml:space="preserve">ymposium </w:t>
      </w:r>
      <w:r>
        <w:rPr>
          <w:lang w:val="en-GB"/>
        </w:rPr>
        <w:t>C</w:t>
      </w:r>
      <w:r w:rsidRPr="00987485">
        <w:rPr>
          <w:lang w:val="en-GB"/>
        </w:rPr>
        <w:t xml:space="preserve">ollection for publication in </w:t>
      </w:r>
      <w:hyperlink r:id="rId10" w:history="1">
        <w:r w:rsidRPr="00232A92">
          <w:rPr>
            <w:rStyle w:val="Hyperlink"/>
            <w:i/>
            <w:lang w:val="en-GB"/>
          </w:rPr>
          <w:t>Transnational Environmental Law</w:t>
        </w:r>
      </w:hyperlink>
      <w:r>
        <w:rPr>
          <w:lang w:val="en-GB"/>
        </w:rPr>
        <w:t xml:space="preserve">, a journal dedicated to the understanding of the distribution of authority beyond the State, which play a role in </w:t>
      </w:r>
      <w:r w:rsidRPr="00A21BCE">
        <w:rPr>
          <w:lang w:val="en-GB"/>
        </w:rPr>
        <w:t>environmental l</w:t>
      </w:r>
      <w:r>
        <w:rPr>
          <w:lang w:val="en-GB"/>
        </w:rPr>
        <w:t>egal formation.</w:t>
      </w:r>
      <w:r w:rsidRPr="00232A92">
        <w:t xml:space="preserve"> </w:t>
      </w:r>
      <w:r w:rsidRPr="00232A92">
        <w:rPr>
          <w:lang w:val="en-GB"/>
        </w:rPr>
        <w:t xml:space="preserve">This Symposium Collection </w:t>
      </w:r>
      <w:r>
        <w:rPr>
          <w:lang w:val="en-GB"/>
        </w:rPr>
        <w:t xml:space="preserve">would </w:t>
      </w:r>
      <w:r w:rsidRPr="00232A92">
        <w:rPr>
          <w:lang w:val="en-GB"/>
        </w:rPr>
        <w:t>aim to contribute to the emerging field of circular economy and the law by focusing on its transnational dimensions.</w:t>
      </w:r>
    </w:p>
    <w:p w14:paraId="160FE731" w14:textId="42196715" w:rsidR="00232A92" w:rsidRDefault="00232A92" w:rsidP="00987485">
      <w:pPr>
        <w:rPr>
          <w:lang w:val="en-GB"/>
        </w:rPr>
      </w:pPr>
      <w:r>
        <w:rPr>
          <w:lang w:val="en-GB"/>
        </w:rPr>
        <w:t>The deadline for paper submissions (8,000 words) is set for 13 January 2025.</w:t>
      </w:r>
    </w:p>
    <w:p w14:paraId="3FDD39B3" w14:textId="2975C26C" w:rsidR="00232A92" w:rsidRPr="00E53C19" w:rsidRDefault="00E53C19" w:rsidP="00987485">
      <w:pPr>
        <w:rPr>
          <w:b/>
          <w:bCs/>
          <w:sz w:val="32"/>
          <w:szCs w:val="32"/>
        </w:rPr>
      </w:pPr>
      <w:r w:rsidRPr="00E53C19">
        <w:rPr>
          <w:b/>
          <w:bCs/>
          <w:sz w:val="32"/>
          <w:szCs w:val="32"/>
          <w:lang w:val="en-GB"/>
        </w:rPr>
        <w:t>Rationale</w:t>
      </w:r>
    </w:p>
    <w:p w14:paraId="11D44084" w14:textId="1CDFDE23" w:rsidR="00987485" w:rsidRDefault="00987485" w:rsidP="00987485">
      <w:r w:rsidRPr="00716ADA">
        <w:t xml:space="preserve">There is only one planet Earth, yet by 2050, </w:t>
      </w:r>
      <w:r>
        <w:t>humanity, primarily the elite and those in the Global North,</w:t>
      </w:r>
      <w:r w:rsidRPr="00716ADA">
        <w:t xml:space="preserve"> will be consuming as if there were three</w:t>
      </w:r>
      <w:r>
        <w:t>.</w:t>
      </w:r>
      <w:r>
        <w:rPr>
          <w:rStyle w:val="FootnoteReference"/>
        </w:rPr>
        <w:footnoteReference w:id="1"/>
      </w:r>
      <w:r w:rsidRPr="00716ADA">
        <w:t xml:space="preserve">  </w:t>
      </w:r>
      <w:r>
        <w:t>G</w:t>
      </w:r>
      <w:r w:rsidRPr="00716ADA">
        <w:t xml:space="preserve">lobal </w:t>
      </w:r>
      <w:r>
        <w:t xml:space="preserve">extraction and </w:t>
      </w:r>
      <w:r w:rsidRPr="00716ADA">
        <w:t>consumption of materials such as biomass, fossil fuels, metals</w:t>
      </w:r>
      <w:r>
        <w:t>,</w:t>
      </w:r>
      <w:r w:rsidRPr="00716ADA">
        <w:t xml:space="preserve"> and minerals </w:t>
      </w:r>
      <w:r>
        <w:t xml:space="preserve">are </w:t>
      </w:r>
      <w:r w:rsidRPr="00716ADA">
        <w:t>expected to double while annual waste generation is projected to increase by 70%</w:t>
      </w:r>
      <w:r>
        <w:t xml:space="preserve"> by 2050</w:t>
      </w:r>
      <w:r w:rsidRPr="00716ADA">
        <w:t>.</w:t>
      </w:r>
      <w:r>
        <w:t xml:space="preserve"> </w:t>
      </w:r>
      <w:r w:rsidRPr="009F083A">
        <w:rPr>
          <w:lang w:val="en-GB"/>
        </w:rPr>
        <w:t xml:space="preserve">These concomitant resource and waste crises are transnational: resource use and waste pollution </w:t>
      </w:r>
      <w:r>
        <w:rPr>
          <w:lang w:val="en-GB"/>
        </w:rPr>
        <w:t>transcend</w:t>
      </w:r>
      <w:r w:rsidRPr="009F083A">
        <w:rPr>
          <w:lang w:val="en-GB"/>
        </w:rPr>
        <w:t xml:space="preserve"> </w:t>
      </w:r>
      <w:r>
        <w:rPr>
          <w:lang w:val="en-GB"/>
        </w:rPr>
        <w:t xml:space="preserve">sovereign state </w:t>
      </w:r>
      <w:r w:rsidRPr="009F083A">
        <w:rPr>
          <w:lang w:val="en-GB"/>
        </w:rPr>
        <w:t>boundaries</w:t>
      </w:r>
      <w:r>
        <w:rPr>
          <w:lang w:val="en-GB"/>
        </w:rPr>
        <w:t>.</w:t>
      </w:r>
      <w:r>
        <w:t xml:space="preserve"> </w:t>
      </w:r>
    </w:p>
    <w:p w14:paraId="16BBBD88" w14:textId="77777777" w:rsidR="00987485" w:rsidRDefault="00987485" w:rsidP="00987485">
      <w:r>
        <w:t>Concern over the unsustainability of extraction, production, and consumption is not new in the modern industrial era.</w:t>
      </w:r>
      <w:r>
        <w:rPr>
          <w:rStyle w:val="FootnoteReference"/>
        </w:rPr>
        <w:footnoteReference w:id="2"/>
      </w:r>
      <w:r>
        <w:t xml:space="preserve"> The international community has mobilized from the early 1970s to try to manage the challenges </w:t>
      </w:r>
      <w:r w:rsidRPr="003A453A">
        <w:t>posed by</w:t>
      </w:r>
      <w:r>
        <w:t xml:space="preserve"> various transboundary ecological </w:t>
      </w:r>
      <w:r w:rsidRPr="003A453A">
        <w:t>problems</w:t>
      </w:r>
      <w:r>
        <w:t xml:space="preserve"> by agreeing numerous international environmental agreements and adopting guiding principles such as sustainable development, polluter pays, and the precautionary approach. Material efficiency and waste minimization strategies were promoted sponsoring technological innovations particularly in industrial activities with high levels of environmental impact, such as greenhouse gas emissions from cement production. However, based on current data it is </w:t>
      </w:r>
      <w:r>
        <w:lastRenderedPageBreak/>
        <w:t>abundantly clear that changing management rules within the existing global economic model failed to reverse the drivers causing the triple planetary crisis: climate change, species extinction, and inequality.</w:t>
      </w:r>
      <w:r>
        <w:rPr>
          <w:rStyle w:val="FootnoteReference"/>
        </w:rPr>
        <w:footnoteReference w:id="3"/>
      </w:r>
      <w:r>
        <w:t xml:space="preserve"> A new economic model was needed. One recent alternative proposal – a circular economy – has received significant attention amongst law and policy makers as well as business and civil society worldwide.</w:t>
      </w:r>
    </w:p>
    <w:p w14:paraId="3B62B903" w14:textId="472B75F2" w:rsidR="00987485" w:rsidRPr="00BD6866" w:rsidRDefault="00987485" w:rsidP="00987485">
      <w:pPr>
        <w:rPr>
          <w:rFonts w:eastAsia="Calibri"/>
          <w:lang w:val="en-GB"/>
        </w:rPr>
      </w:pPr>
      <w:r>
        <w:t xml:space="preserve">A circular economy moves away from a linear take-make-dispose model to one in which resource use and waste generation prevented or alternatively wastes are reused, recycled, or recovered. </w:t>
      </w:r>
      <w:r w:rsidRPr="00BD6866">
        <w:t xml:space="preserve">The concept </w:t>
      </w:r>
      <w:r>
        <w:t>is now widely advocated as a means by which the triple planetary crises could be addressed.</w:t>
      </w:r>
      <w:r>
        <w:rPr>
          <w:rStyle w:val="FootnoteReference"/>
        </w:rPr>
        <w:footnoteReference w:id="4"/>
      </w:r>
      <w:r>
        <w:t xml:space="preserve"> </w:t>
      </w:r>
      <w:r w:rsidRPr="00BD6866">
        <w:t xml:space="preserve"> The circular economy’s theoretical foundations draw on numerous earlier approaches to minimi</w:t>
      </w:r>
      <w:r>
        <w:t>z</w:t>
      </w:r>
      <w:r w:rsidRPr="00BD6866">
        <w:t>ing resource extraction and valori</w:t>
      </w:r>
      <w:r>
        <w:t>z</w:t>
      </w:r>
      <w:r w:rsidRPr="00BD6866">
        <w:t>ing waste materials</w:t>
      </w:r>
      <w:r>
        <w:t xml:space="preserve"> within sectors or national economic systems</w:t>
      </w:r>
      <w:r w:rsidRPr="00BD6866">
        <w:t xml:space="preserve">. </w:t>
      </w:r>
      <w:r>
        <w:t xml:space="preserve">Early policy advocates on </w:t>
      </w:r>
      <w:r w:rsidRPr="00BD6866">
        <w:rPr>
          <w:rFonts w:eastAsia="Calibri"/>
          <w:lang w:val="en-GB"/>
        </w:rPr>
        <w:t>transitioning to circular economies were dominated by transnational organisations, such as Ellen MacArthur Foundation, McKinsey, and transnational think-tanks and networks.</w:t>
      </w:r>
      <w:r w:rsidRPr="00BD6866">
        <w:rPr>
          <w:rFonts w:eastAsia="Calibri"/>
          <w:vertAlign w:val="superscript"/>
          <w:lang w:val="en-GB"/>
        </w:rPr>
        <w:footnoteReference w:id="5"/>
      </w:r>
      <w:r w:rsidRPr="00BD6866">
        <w:rPr>
          <w:rFonts w:eastAsia="Calibri"/>
          <w:lang w:val="en-GB"/>
        </w:rPr>
        <w:t xml:space="preserve"> Increasingly, a variety of individual and multi-stakeholder state and non-state actors have issued their own circular economy policies, agendas, roadmaps, action plans and strategies, without much coordination or harmoni</w:t>
      </w:r>
      <w:r>
        <w:rPr>
          <w:rFonts w:eastAsia="Calibri"/>
          <w:lang w:val="en-GB"/>
        </w:rPr>
        <w:t>z</w:t>
      </w:r>
      <w:r w:rsidRPr="00BD6866">
        <w:rPr>
          <w:rFonts w:eastAsia="Calibri"/>
          <w:lang w:val="en-GB"/>
        </w:rPr>
        <w:t xml:space="preserve">ation between them. </w:t>
      </w:r>
      <w:r w:rsidRPr="00BD6866">
        <w:rPr>
          <w:rFonts w:eastAsia="Calibri"/>
          <w:kern w:val="2"/>
          <w:lang w:val="en-GB"/>
          <w14:ligatures w14:val="standardContextual"/>
        </w:rPr>
        <w:t xml:space="preserve">In </w:t>
      </w:r>
      <w:r w:rsidRPr="00B834BD">
        <w:rPr>
          <w:rFonts w:eastAsia="Calibri"/>
          <w:kern w:val="2"/>
          <w:lang w:val="en-GB"/>
          <w14:ligatures w14:val="standardContextual"/>
        </w:rPr>
        <w:t>2023</w:t>
      </w:r>
      <w:r>
        <w:rPr>
          <w:rFonts w:eastAsia="Calibri"/>
          <w:kern w:val="2"/>
          <w:lang w:val="en-GB"/>
          <w14:ligatures w14:val="standardContextual"/>
        </w:rPr>
        <w:t>,</w:t>
      </w:r>
      <w:r w:rsidRPr="00BD6866">
        <w:rPr>
          <w:rFonts w:eastAsia="Calibri"/>
          <w:kern w:val="2"/>
          <w:lang w:val="en-GB"/>
          <w14:ligatures w14:val="standardContextual"/>
        </w:rPr>
        <w:t xml:space="preserve"> an estimated 2800 circular economy policy initiatives ranging from specific circular economy laws to roadmaps and other private sector voluntary initiatives exist</w:t>
      </w:r>
      <w:r>
        <w:rPr>
          <w:rFonts w:eastAsia="Calibri"/>
          <w:kern w:val="2"/>
          <w:lang w:val="en-GB"/>
          <w14:ligatures w14:val="standardContextual"/>
        </w:rPr>
        <w:t>ed</w:t>
      </w:r>
      <w:r w:rsidRPr="00BD6866">
        <w:rPr>
          <w:rFonts w:eastAsia="Calibri"/>
          <w:kern w:val="2"/>
          <w:lang w:val="en-GB"/>
          <w14:ligatures w14:val="standardContextual"/>
        </w:rPr>
        <w:t xml:space="preserve"> globally.</w:t>
      </w:r>
      <w:r w:rsidRPr="00BD6866">
        <w:rPr>
          <w:rFonts w:eastAsia="Calibri"/>
          <w:kern w:val="2"/>
          <w:vertAlign w:val="superscript"/>
          <w:lang w:val="en-GB"/>
          <w14:ligatures w14:val="standardContextual"/>
        </w:rPr>
        <w:footnoteReference w:id="6"/>
      </w:r>
      <w:r w:rsidRPr="00BD6866">
        <w:rPr>
          <w:rFonts w:eastAsia="Calibri"/>
          <w:kern w:val="2"/>
          <w:lang w:val="en-GB"/>
          <w14:ligatures w14:val="standardContextual"/>
        </w:rPr>
        <w:t xml:space="preserve"> </w:t>
      </w:r>
      <w:r w:rsidRPr="00B834BD">
        <w:rPr>
          <w:rFonts w:eastAsia="Calibri"/>
          <w:lang w:val="en-GB"/>
        </w:rPr>
        <w:t>The</w:t>
      </w:r>
      <w:r w:rsidRPr="00BD6866">
        <w:rPr>
          <w:rFonts w:eastAsia="Calibri"/>
          <w:lang w:val="en-GB"/>
        </w:rPr>
        <w:t xml:space="preserve"> resulting circular economy policy landscape resembles a complicated</w:t>
      </w:r>
      <w:r>
        <w:rPr>
          <w:rFonts w:eastAsia="Calibri"/>
          <w:lang w:val="en-GB"/>
        </w:rPr>
        <w:t>,</w:t>
      </w:r>
      <w:r w:rsidRPr="00BD6866">
        <w:rPr>
          <w:rFonts w:eastAsia="Calibri"/>
          <w:lang w:val="en-GB"/>
        </w:rPr>
        <w:t xml:space="preserve"> unfinished jigsaw puzzle</w:t>
      </w:r>
      <w:r>
        <w:rPr>
          <w:rFonts w:eastAsia="Calibri"/>
          <w:lang w:val="en-GB"/>
        </w:rPr>
        <w:t xml:space="preserve"> that shows little resemblance to any coherent transformational plan towards a waste-as-resource system of governance</w:t>
      </w:r>
      <w:r w:rsidRPr="00BD6866">
        <w:rPr>
          <w:rFonts w:eastAsia="Calibri"/>
          <w:lang w:val="en-GB"/>
        </w:rPr>
        <w:t>.</w:t>
      </w:r>
      <w:r>
        <w:rPr>
          <w:rFonts w:eastAsia="Calibri"/>
          <w:lang w:val="en-GB"/>
        </w:rPr>
        <w:t xml:space="preserve"> </w:t>
      </w:r>
      <w:r w:rsidRPr="00BD6866">
        <w:rPr>
          <w:rFonts w:eastAsia="Calibri"/>
          <w:lang w:val="en-GB"/>
        </w:rPr>
        <w:t>Despite the growing number of circular economy initiatives</w:t>
      </w:r>
      <w:r w:rsidR="003414D7">
        <w:rPr>
          <w:rFonts w:eastAsia="Calibri"/>
          <w:lang w:val="en-GB"/>
        </w:rPr>
        <w:t>,</w:t>
      </w:r>
      <w:r w:rsidRPr="00BD6866">
        <w:rPr>
          <w:rFonts w:eastAsia="Calibri"/>
          <w:lang w:val="en-GB"/>
        </w:rPr>
        <w:t xml:space="preserve"> the global economy remains wedded to the </w:t>
      </w:r>
      <w:r>
        <w:rPr>
          <w:rFonts w:eastAsia="Calibri"/>
          <w:lang w:val="en-GB"/>
        </w:rPr>
        <w:t>take-make</w:t>
      </w:r>
      <w:r w:rsidRPr="00BD6866">
        <w:rPr>
          <w:rFonts w:eastAsia="Calibri"/>
          <w:lang w:val="en-GB"/>
        </w:rPr>
        <w:t>-waste model</w:t>
      </w:r>
      <w:r>
        <w:rPr>
          <w:rFonts w:eastAsia="Calibri"/>
          <w:lang w:val="en-GB"/>
        </w:rPr>
        <w:t>;</w:t>
      </w:r>
      <w:r w:rsidRPr="00BD6866">
        <w:rPr>
          <w:rFonts w:eastAsia="Calibri"/>
          <w:lang w:val="en-GB"/>
        </w:rPr>
        <w:t xml:space="preserve"> only 9% of the global economy was deemed to be circular</w:t>
      </w:r>
      <w:r>
        <w:rPr>
          <w:rFonts w:eastAsia="Calibri"/>
          <w:lang w:val="en-GB"/>
        </w:rPr>
        <w:t xml:space="preserve"> in 2023</w:t>
      </w:r>
      <w:r w:rsidRPr="00BD6866">
        <w:rPr>
          <w:rFonts w:eastAsia="Calibri"/>
          <w:lang w:val="en-GB"/>
        </w:rPr>
        <w:t>.</w:t>
      </w:r>
      <w:r w:rsidRPr="00BD6866">
        <w:rPr>
          <w:rFonts w:eastAsia="Calibri"/>
          <w:vertAlign w:val="superscript"/>
          <w:lang w:val="en-GB"/>
        </w:rPr>
        <w:footnoteReference w:id="7"/>
      </w:r>
    </w:p>
    <w:p w14:paraId="5560812E" w14:textId="77777777" w:rsidR="00987485" w:rsidRDefault="00987485" w:rsidP="00987485">
      <w:pPr>
        <w:rPr>
          <w:rFonts w:eastAsia="Calibri"/>
          <w:lang w:val="en-GB"/>
        </w:rPr>
      </w:pPr>
      <w:r w:rsidRPr="00BD6866">
        <w:rPr>
          <w:rFonts w:eastAsia="Calibri"/>
          <w:kern w:val="2"/>
          <w:lang w:val="en-GB"/>
          <w14:ligatures w14:val="standardContextual"/>
        </w:rPr>
        <w:t xml:space="preserve">All </w:t>
      </w:r>
      <w:r>
        <w:rPr>
          <w:rFonts w:eastAsia="Calibri"/>
          <w:kern w:val="2"/>
          <w:lang w:val="en-GB"/>
          <w14:ligatures w14:val="standardContextual"/>
        </w:rPr>
        <w:t>circular economy</w:t>
      </w:r>
      <w:r w:rsidRPr="00BD6866">
        <w:rPr>
          <w:rFonts w:eastAsia="Calibri"/>
          <w:kern w:val="2"/>
          <w:lang w:val="en-GB"/>
          <w14:ligatures w14:val="standardContextual"/>
        </w:rPr>
        <w:t xml:space="preserve"> initiatives have implications for law, regulations</w:t>
      </w:r>
      <w:r>
        <w:rPr>
          <w:rFonts w:eastAsia="Calibri"/>
          <w:kern w:val="2"/>
          <w:lang w:val="en-GB"/>
          <w14:ligatures w14:val="standardContextual"/>
        </w:rPr>
        <w:t>,</w:t>
      </w:r>
      <w:r w:rsidRPr="00BD6866">
        <w:rPr>
          <w:rFonts w:eastAsia="Calibri"/>
          <w:kern w:val="2"/>
          <w:lang w:val="en-GB"/>
          <w14:ligatures w14:val="standardContextual"/>
        </w:rPr>
        <w:t xml:space="preserve"> and standards across sectors ranging from textiles to industrial manufacturing (glass, steel, cement) as well as agriculture. </w:t>
      </w:r>
      <w:r w:rsidRPr="00BD6866">
        <w:rPr>
          <w:rFonts w:eastAsia="Calibri"/>
          <w:lang w:val="en-GB"/>
        </w:rPr>
        <w:t xml:space="preserve">Nascent </w:t>
      </w:r>
      <w:r>
        <w:rPr>
          <w:rFonts w:eastAsia="Calibri"/>
          <w:lang w:val="en-GB"/>
        </w:rPr>
        <w:t xml:space="preserve">academic </w:t>
      </w:r>
      <w:r w:rsidRPr="00BD6866">
        <w:rPr>
          <w:rFonts w:eastAsia="Calibri"/>
          <w:lang w:val="en-GB"/>
        </w:rPr>
        <w:t xml:space="preserve">literature </w:t>
      </w:r>
      <w:r>
        <w:rPr>
          <w:rFonts w:eastAsia="Calibri"/>
          <w:lang w:val="en-GB"/>
        </w:rPr>
        <w:t xml:space="preserve">does </w:t>
      </w:r>
      <w:r w:rsidRPr="00BD6866">
        <w:rPr>
          <w:rFonts w:eastAsia="Calibri"/>
          <w:lang w:val="en-GB"/>
        </w:rPr>
        <w:t>recogni</w:t>
      </w:r>
      <w:r>
        <w:rPr>
          <w:rFonts w:eastAsia="Calibri"/>
          <w:lang w:val="en-GB"/>
        </w:rPr>
        <w:t>z</w:t>
      </w:r>
      <w:r w:rsidRPr="00BD6866">
        <w:rPr>
          <w:rFonts w:eastAsia="Calibri"/>
          <w:lang w:val="en-GB"/>
        </w:rPr>
        <w:t>e that environmental law, trade and investment law, and other branches of transnational law – both public and private – ha</w:t>
      </w:r>
      <w:r>
        <w:rPr>
          <w:rFonts w:eastAsia="Calibri"/>
          <w:lang w:val="en-GB"/>
        </w:rPr>
        <w:t>ve</w:t>
      </w:r>
      <w:r w:rsidRPr="00BD6866">
        <w:rPr>
          <w:rFonts w:eastAsia="Calibri"/>
          <w:lang w:val="en-GB"/>
        </w:rPr>
        <w:t xml:space="preserve"> </w:t>
      </w:r>
      <w:r>
        <w:rPr>
          <w:rFonts w:eastAsia="Calibri"/>
          <w:lang w:val="en-GB"/>
        </w:rPr>
        <w:t xml:space="preserve">a </w:t>
      </w:r>
      <w:r w:rsidRPr="00BD6866">
        <w:rPr>
          <w:rFonts w:eastAsia="Calibri"/>
          <w:lang w:val="en-GB"/>
        </w:rPr>
        <w:t xml:space="preserve">role </w:t>
      </w:r>
      <w:r>
        <w:rPr>
          <w:rFonts w:eastAsia="Calibri"/>
          <w:lang w:val="en-GB"/>
        </w:rPr>
        <w:t xml:space="preserve">to play </w:t>
      </w:r>
      <w:r w:rsidRPr="00BD6866">
        <w:rPr>
          <w:rFonts w:eastAsia="Calibri"/>
          <w:lang w:val="en-GB"/>
        </w:rPr>
        <w:t>in enabling the transition</w:t>
      </w:r>
      <w:r>
        <w:rPr>
          <w:rFonts w:eastAsia="Calibri"/>
          <w:lang w:val="en-GB"/>
        </w:rPr>
        <w:t xml:space="preserve"> to a circular economy. Moreover, the </w:t>
      </w:r>
      <w:r w:rsidRPr="00BD6866">
        <w:rPr>
          <w:rFonts w:eastAsia="Calibri"/>
          <w:lang w:val="en-GB"/>
        </w:rPr>
        <w:t>scope and scale of the impacts</w:t>
      </w:r>
      <w:r>
        <w:rPr>
          <w:rFonts w:eastAsia="Calibri"/>
          <w:lang w:val="en-GB"/>
        </w:rPr>
        <w:t xml:space="preserve"> to law</w:t>
      </w:r>
      <w:r w:rsidRPr="00BD6866">
        <w:rPr>
          <w:rFonts w:eastAsia="Calibri"/>
          <w:lang w:val="en-GB"/>
        </w:rPr>
        <w:t xml:space="preserve"> is not </w:t>
      </w:r>
      <w:r>
        <w:rPr>
          <w:rFonts w:eastAsia="Calibri"/>
          <w:lang w:val="en-GB"/>
        </w:rPr>
        <w:t xml:space="preserve">as yet </w:t>
      </w:r>
      <w:r w:rsidRPr="00BD6866">
        <w:rPr>
          <w:rFonts w:eastAsia="Calibri"/>
          <w:lang w:val="en-GB"/>
        </w:rPr>
        <w:t>reflected in current academic legal research scholarship, particularly the transnational dimensions that transitioning from a linear take-make-waste economic order to a circular one will have.</w:t>
      </w:r>
      <w:r>
        <w:rPr>
          <w:rFonts w:eastAsia="Calibri"/>
          <w:lang w:val="en-GB"/>
        </w:rPr>
        <w:t xml:space="preserve"> </w:t>
      </w:r>
      <w:r w:rsidRPr="00BD6866">
        <w:rPr>
          <w:rFonts w:eastAsia="Calibri"/>
          <w:lang w:val="en-GB"/>
        </w:rPr>
        <w:t xml:space="preserve">Much more </w:t>
      </w:r>
      <w:r>
        <w:rPr>
          <w:rFonts w:eastAsia="Calibri"/>
          <w:lang w:val="en-GB"/>
        </w:rPr>
        <w:t xml:space="preserve">research is needed on the potential design and impacts </w:t>
      </w:r>
      <w:r w:rsidRPr="002D1177">
        <w:rPr>
          <w:rFonts w:eastAsia="Calibri"/>
          <w:lang w:val="en-GB"/>
        </w:rPr>
        <w:t>that</w:t>
      </w:r>
      <w:r>
        <w:rPr>
          <w:rFonts w:eastAsia="Calibri"/>
          <w:lang w:val="en-GB"/>
        </w:rPr>
        <w:t xml:space="preserve"> law will have on a future global </w:t>
      </w:r>
      <w:r w:rsidRPr="00BD6866">
        <w:rPr>
          <w:rFonts w:eastAsia="Calibri"/>
          <w:lang w:val="en-GB"/>
        </w:rPr>
        <w:t>circular econom</w:t>
      </w:r>
      <w:r>
        <w:rPr>
          <w:rFonts w:eastAsia="Calibri"/>
          <w:lang w:val="en-GB"/>
        </w:rPr>
        <w:t>y legal order including the distribution of burdens and benefits across material life cycle chains.</w:t>
      </w:r>
    </w:p>
    <w:p w14:paraId="72489A6C" w14:textId="302795B0" w:rsidR="00987485" w:rsidRPr="009F083A" w:rsidRDefault="00987485" w:rsidP="00987485">
      <w:pPr>
        <w:rPr>
          <w:lang w:val="en-GB"/>
        </w:rPr>
      </w:pPr>
      <w:r w:rsidRPr="009F083A">
        <w:rPr>
          <w:lang w:val="en-GB"/>
        </w:rPr>
        <w:t xml:space="preserve">Papers might explore, for example, but not </w:t>
      </w:r>
      <w:r>
        <w:rPr>
          <w:lang w:val="en-GB"/>
        </w:rPr>
        <w:t xml:space="preserve">be </w:t>
      </w:r>
      <w:r w:rsidRPr="009F083A">
        <w:rPr>
          <w:lang w:val="en-GB"/>
        </w:rPr>
        <w:t xml:space="preserve">limited to </w:t>
      </w:r>
      <w:r>
        <w:rPr>
          <w:lang w:val="en-GB"/>
        </w:rPr>
        <w:t>the following</w:t>
      </w:r>
      <w:r w:rsidRPr="009F083A">
        <w:rPr>
          <w:lang w:val="en-GB"/>
        </w:rPr>
        <w:t>:</w:t>
      </w:r>
    </w:p>
    <w:p w14:paraId="665923D5" w14:textId="77777777" w:rsidR="00987485" w:rsidRDefault="00987485" w:rsidP="00987485">
      <w:pPr>
        <w:pStyle w:val="ListBullet"/>
        <w:rPr>
          <w:lang w:val="en-GB"/>
        </w:rPr>
      </w:pPr>
      <w:r w:rsidRPr="009F083A">
        <w:rPr>
          <w:lang w:val="en-GB"/>
        </w:rPr>
        <w:lastRenderedPageBreak/>
        <w:t xml:space="preserve">Multi-level governance </w:t>
      </w:r>
      <w:r>
        <w:rPr>
          <w:lang w:val="en-GB"/>
        </w:rPr>
        <w:t>dimensions</w:t>
      </w:r>
      <w:r w:rsidRPr="009F083A">
        <w:rPr>
          <w:lang w:val="en-GB"/>
        </w:rPr>
        <w:t xml:space="preserve"> </w:t>
      </w:r>
      <w:r>
        <w:rPr>
          <w:lang w:val="en-GB"/>
        </w:rPr>
        <w:t xml:space="preserve">of </w:t>
      </w:r>
      <w:r w:rsidRPr="009F083A">
        <w:rPr>
          <w:lang w:val="en-GB"/>
        </w:rPr>
        <w:t>transitioning to a circular economy</w:t>
      </w:r>
      <w:r>
        <w:rPr>
          <w:lang w:val="en-GB"/>
        </w:rPr>
        <w:t>;</w:t>
      </w:r>
    </w:p>
    <w:p w14:paraId="04C0934D" w14:textId="77777777" w:rsidR="00987485" w:rsidRDefault="00987485" w:rsidP="00987485">
      <w:pPr>
        <w:pStyle w:val="ListBullet"/>
        <w:rPr>
          <w:lang w:val="en-GB"/>
        </w:rPr>
      </w:pPr>
      <w:r>
        <w:rPr>
          <w:lang w:val="en-GB"/>
        </w:rPr>
        <w:t>Balancing net zero legal objectives with a transition to a circular economy;</w:t>
      </w:r>
    </w:p>
    <w:p w14:paraId="6ADF9A2E" w14:textId="77777777" w:rsidR="00987485" w:rsidRDefault="00987485" w:rsidP="00987485">
      <w:pPr>
        <w:pStyle w:val="ListBullet"/>
        <w:rPr>
          <w:lang w:val="en-GB"/>
        </w:rPr>
      </w:pPr>
      <w:r>
        <w:rPr>
          <w:lang w:val="en-GB"/>
        </w:rPr>
        <w:t>How global value chains and trade law will need to change to facilitate a transition to a circular economy;</w:t>
      </w:r>
    </w:p>
    <w:p w14:paraId="1F2AD32B" w14:textId="77777777" w:rsidR="00987485" w:rsidRDefault="00987485" w:rsidP="00987485">
      <w:pPr>
        <w:pStyle w:val="ListBullet"/>
        <w:rPr>
          <w:lang w:val="en-GB"/>
        </w:rPr>
      </w:pPr>
      <w:r>
        <w:rPr>
          <w:lang w:val="en-GB"/>
        </w:rPr>
        <w:t>The impacts on informal material economies of circular economy law;</w:t>
      </w:r>
    </w:p>
    <w:p w14:paraId="48F3E738" w14:textId="77777777" w:rsidR="00987485" w:rsidRDefault="00987485" w:rsidP="00987485">
      <w:pPr>
        <w:pStyle w:val="ListBullet"/>
        <w:rPr>
          <w:lang w:val="en-GB"/>
        </w:rPr>
      </w:pPr>
      <w:r>
        <w:rPr>
          <w:lang w:val="en-GB"/>
        </w:rPr>
        <w:t>How global standards help or hinder a transition to a circular economy globally;</w:t>
      </w:r>
    </w:p>
    <w:p w14:paraId="4FFA3DF0" w14:textId="77777777" w:rsidR="00987485" w:rsidRPr="009F083A" w:rsidRDefault="00987485" w:rsidP="00987485">
      <w:pPr>
        <w:pStyle w:val="ListBullet"/>
        <w:rPr>
          <w:lang w:val="en-GB"/>
        </w:rPr>
      </w:pPr>
      <w:r>
        <w:rPr>
          <w:lang w:val="en-GB"/>
        </w:rPr>
        <w:t>Why epistemological diversity is integral achieving a just and resilient global circular legal order;</w:t>
      </w:r>
    </w:p>
    <w:p w14:paraId="4E26FDEC" w14:textId="77777777" w:rsidR="00987485" w:rsidRDefault="00987485" w:rsidP="00987485">
      <w:pPr>
        <w:pStyle w:val="ListBullet"/>
        <w:rPr>
          <w:lang w:val="en-GB"/>
        </w:rPr>
      </w:pPr>
      <w:r w:rsidRPr="009F083A">
        <w:rPr>
          <w:lang w:val="en-GB"/>
        </w:rPr>
        <w:t xml:space="preserve">Contribution of non-state actors to </w:t>
      </w:r>
      <w:r>
        <w:rPr>
          <w:lang w:val="en-GB"/>
        </w:rPr>
        <w:t xml:space="preserve">shaping and </w:t>
      </w:r>
      <w:r w:rsidRPr="009F083A">
        <w:rPr>
          <w:lang w:val="en-GB"/>
        </w:rPr>
        <w:t>regulating circular economy</w:t>
      </w:r>
      <w:r>
        <w:rPr>
          <w:lang w:val="en-GB"/>
        </w:rPr>
        <w:t>;</w:t>
      </w:r>
    </w:p>
    <w:p w14:paraId="48E8297D" w14:textId="77777777" w:rsidR="00987485" w:rsidRPr="009F083A" w:rsidRDefault="00987485" w:rsidP="00987485">
      <w:pPr>
        <w:pStyle w:val="ListBullet"/>
        <w:rPr>
          <w:lang w:val="en-GB"/>
        </w:rPr>
      </w:pPr>
      <w:r>
        <w:rPr>
          <w:lang w:val="en-GB"/>
        </w:rPr>
        <w:t>Transnational impacts of</w:t>
      </w:r>
      <w:r w:rsidRPr="009F083A">
        <w:rPr>
          <w:lang w:val="en-GB"/>
        </w:rPr>
        <w:t xml:space="preserve"> circular economy policy proposals </w:t>
      </w:r>
      <w:r>
        <w:rPr>
          <w:lang w:val="en-GB"/>
        </w:rPr>
        <w:t xml:space="preserve">compared to </w:t>
      </w:r>
      <w:r w:rsidRPr="009F083A">
        <w:rPr>
          <w:lang w:val="en-GB"/>
        </w:rPr>
        <w:t>existing regulatory frameworks on th</w:t>
      </w:r>
      <w:r>
        <w:rPr>
          <w:lang w:val="en-GB"/>
        </w:rPr>
        <w:t>e protection of the environment;</w:t>
      </w:r>
    </w:p>
    <w:p w14:paraId="0D8C89B0" w14:textId="77777777" w:rsidR="00987485" w:rsidRPr="00352782" w:rsidRDefault="00987485" w:rsidP="00987485">
      <w:pPr>
        <w:pStyle w:val="ListBullet"/>
        <w:rPr>
          <w:lang w:val="en-GB"/>
        </w:rPr>
      </w:pPr>
      <w:r>
        <w:rPr>
          <w:lang w:val="en-GB"/>
        </w:rPr>
        <w:t>Whether</w:t>
      </w:r>
      <w:r w:rsidRPr="009F083A">
        <w:rPr>
          <w:lang w:val="en-GB"/>
        </w:rPr>
        <w:t xml:space="preserve"> the (proposed) circular economy approaches change the emphasis or, more importantly, effect a substantive transformation of legal tools and techniques</w:t>
      </w:r>
      <w:r>
        <w:rPr>
          <w:lang w:val="en-GB"/>
        </w:rPr>
        <w:t>;</w:t>
      </w:r>
    </w:p>
    <w:p w14:paraId="638AE047" w14:textId="138FB2DB" w:rsidR="00987485" w:rsidRPr="00570F41" w:rsidRDefault="00987485" w:rsidP="00987485">
      <w:pPr>
        <w:pStyle w:val="ListBullet"/>
        <w:rPr>
          <w:lang w:val="en-GB"/>
        </w:rPr>
      </w:pPr>
      <w:r>
        <w:rPr>
          <w:lang w:val="en-GB"/>
        </w:rPr>
        <w:t xml:space="preserve">How circular economy principles could </w:t>
      </w:r>
      <w:r w:rsidRPr="00570F41">
        <w:rPr>
          <w:lang w:val="en-GB"/>
        </w:rPr>
        <w:t>improve</w:t>
      </w:r>
      <w:r>
        <w:rPr>
          <w:lang w:val="en-GB"/>
        </w:rPr>
        <w:t xml:space="preserve"> a</w:t>
      </w:r>
      <w:r w:rsidRPr="00570F41">
        <w:rPr>
          <w:lang w:val="en-GB"/>
        </w:rPr>
        <w:t xml:space="preserve"> legally binding plastic pollution treaty;</w:t>
      </w:r>
    </w:p>
    <w:p w14:paraId="61CAFE99" w14:textId="77777777" w:rsidR="00987485" w:rsidRPr="009F083A" w:rsidRDefault="00987485" w:rsidP="00987485">
      <w:pPr>
        <w:pStyle w:val="ListBullet"/>
        <w:rPr>
          <w:lang w:val="en-GB"/>
        </w:rPr>
      </w:pPr>
      <w:r w:rsidRPr="009F083A">
        <w:rPr>
          <w:lang w:val="en-GB"/>
        </w:rPr>
        <w:t>Tensions between globalization and localization of circular economy governance</w:t>
      </w:r>
      <w:r>
        <w:rPr>
          <w:lang w:val="en-GB"/>
        </w:rPr>
        <w:t>; and</w:t>
      </w:r>
    </w:p>
    <w:p w14:paraId="4396289F" w14:textId="77777777" w:rsidR="00987485" w:rsidRDefault="00987485" w:rsidP="00987485">
      <w:pPr>
        <w:pStyle w:val="ListBullet"/>
        <w:rPr>
          <w:lang w:val="en-GB"/>
        </w:rPr>
      </w:pPr>
      <w:r w:rsidRPr="009F083A">
        <w:rPr>
          <w:lang w:val="en-GB"/>
        </w:rPr>
        <w:t>Environmental justice</w:t>
      </w:r>
      <w:r>
        <w:rPr>
          <w:lang w:val="en-GB"/>
        </w:rPr>
        <w:t xml:space="preserve"> issues raided by circular economy legal initiatives</w:t>
      </w:r>
      <w:r w:rsidRPr="009F083A">
        <w:rPr>
          <w:lang w:val="en-GB"/>
        </w:rPr>
        <w:t xml:space="preserve"> issues</w:t>
      </w:r>
      <w:r>
        <w:rPr>
          <w:lang w:val="en-GB"/>
        </w:rPr>
        <w:t>.</w:t>
      </w:r>
    </w:p>
    <w:p w14:paraId="50FBC14C" w14:textId="194665B7" w:rsidR="00232A92" w:rsidRDefault="00232A92" w:rsidP="00987485">
      <w:pPr>
        <w:pStyle w:val="Heading1"/>
        <w:rPr>
          <w:b/>
          <w:bCs/>
          <w:lang w:val="en-GB"/>
        </w:rPr>
      </w:pPr>
      <w:bookmarkStart w:id="0" w:name="_Toc167193422"/>
      <w:r>
        <w:rPr>
          <w:b/>
          <w:bCs/>
          <w:lang w:val="en-GB"/>
        </w:rPr>
        <w:t>Instructions</w:t>
      </w:r>
    </w:p>
    <w:p w14:paraId="427EA9DE" w14:textId="2DF83873" w:rsidR="00E53C19" w:rsidRDefault="00E53C19" w:rsidP="00E53C19">
      <w:pPr>
        <w:pStyle w:val="ListParagraph"/>
        <w:numPr>
          <w:ilvl w:val="0"/>
          <w:numId w:val="2"/>
        </w:numPr>
      </w:pPr>
      <w:r>
        <w:t xml:space="preserve">Authors must first submit their manuscripts to the Symposium Convenors: </w:t>
      </w:r>
      <w:hyperlink r:id="rId11" w:history="1">
        <w:r w:rsidRPr="00FA6EB9">
          <w:rPr>
            <w:rStyle w:val="Hyperlink"/>
          </w:rPr>
          <w:t>f.lesniewska@surrey.ac.uk</w:t>
        </w:r>
      </w:hyperlink>
      <w:r>
        <w:t xml:space="preserve"> </w:t>
      </w:r>
      <w:hyperlink r:id="rId12" w:history="1">
        <w:r w:rsidRPr="00FA6EB9">
          <w:rPr>
            <w:rStyle w:val="Hyperlink"/>
          </w:rPr>
          <w:t>m.picard@ed.ac.uk</w:t>
        </w:r>
      </w:hyperlink>
      <w:r>
        <w:t xml:space="preserve"> </w:t>
      </w:r>
      <w:hyperlink r:id="rId13" w:history="1">
        <w:r w:rsidRPr="00FA6EB9">
          <w:rPr>
            <w:rStyle w:val="Hyperlink"/>
          </w:rPr>
          <w:t>katrien.steenmans@jur.ku.dk</w:t>
        </w:r>
      </w:hyperlink>
    </w:p>
    <w:p w14:paraId="716E1C7B" w14:textId="058CA7B5" w:rsidR="00232A92" w:rsidRPr="00232A92" w:rsidRDefault="00E53C19" w:rsidP="00232A92">
      <w:pPr>
        <w:numPr>
          <w:ilvl w:val="0"/>
          <w:numId w:val="2"/>
        </w:numPr>
        <w:rPr>
          <w:lang w:val="en-GB"/>
        </w:rPr>
      </w:pPr>
      <w:r>
        <w:rPr>
          <w:lang w:val="en-GB"/>
        </w:rPr>
        <w:t>U</w:t>
      </w:r>
      <w:r w:rsidR="00232A92" w:rsidRPr="00232A92">
        <w:rPr>
          <w:lang w:val="en-GB"/>
        </w:rPr>
        <w:t>pon successful internal review</w:t>
      </w:r>
      <w:r>
        <w:rPr>
          <w:lang w:val="en-GB"/>
        </w:rPr>
        <w:t xml:space="preserve"> by Symposium Convenors</w:t>
      </w:r>
      <w:r w:rsidR="00232A92" w:rsidRPr="00232A92">
        <w:rPr>
          <w:lang w:val="en-GB"/>
        </w:rPr>
        <w:t>, submissions are sent out to at least 2 external </w:t>
      </w:r>
      <w:r>
        <w:rPr>
          <w:lang w:val="en-GB"/>
        </w:rPr>
        <w:t xml:space="preserve">TEL </w:t>
      </w:r>
      <w:r w:rsidR="00232A92" w:rsidRPr="00232A92">
        <w:t>peer </w:t>
      </w:r>
      <w:r w:rsidR="00232A92" w:rsidRPr="00232A92">
        <w:rPr>
          <w:lang w:val="en-GB"/>
        </w:rPr>
        <w:t>reviewers</w:t>
      </w:r>
      <w:r>
        <w:rPr>
          <w:lang w:val="en-GB"/>
        </w:rPr>
        <w:t xml:space="preserve"> </w:t>
      </w:r>
      <w:r w:rsidR="00232A92" w:rsidRPr="00232A92">
        <w:t>(double blinded)</w:t>
      </w:r>
      <w:r w:rsidR="00232A92" w:rsidRPr="00232A92">
        <w:rPr>
          <w:lang w:val="en-GB"/>
        </w:rPr>
        <w:t>;</w:t>
      </w:r>
    </w:p>
    <w:p w14:paraId="28477C51" w14:textId="392BA589" w:rsidR="00232A92" w:rsidRPr="00232A92" w:rsidRDefault="00E53C19" w:rsidP="00232A92">
      <w:pPr>
        <w:numPr>
          <w:ilvl w:val="0"/>
          <w:numId w:val="2"/>
        </w:numPr>
        <w:rPr>
          <w:lang w:val="en-GB"/>
        </w:rPr>
      </w:pPr>
      <w:r>
        <w:rPr>
          <w:lang w:val="en-GB"/>
        </w:rPr>
        <w:t>T</w:t>
      </w:r>
      <w:r w:rsidR="00232A92" w:rsidRPr="00232A92">
        <w:rPr>
          <w:lang w:val="en-GB"/>
        </w:rPr>
        <w:t xml:space="preserve">he </w:t>
      </w:r>
      <w:r w:rsidR="00232A92" w:rsidRPr="00232A92">
        <w:rPr>
          <w:lang w:val="nl-NL"/>
        </w:rPr>
        <w:t>time</w:t>
      </w:r>
      <w:r w:rsidR="00232A92" w:rsidRPr="00232A92">
        <w:rPr>
          <w:lang w:val="en-GB"/>
        </w:rPr>
        <w:t xml:space="preserve"> between submission and peer review results is typically around 8 weeks;</w:t>
      </w:r>
    </w:p>
    <w:p w14:paraId="43EC9C4D" w14:textId="6B0B05B3" w:rsidR="00232A92" w:rsidRPr="00232A92" w:rsidRDefault="00232A92" w:rsidP="00232A92">
      <w:pPr>
        <w:numPr>
          <w:ilvl w:val="0"/>
          <w:numId w:val="2"/>
        </w:numPr>
        <w:rPr>
          <w:lang w:val="en-GB"/>
        </w:rPr>
      </w:pPr>
      <w:r w:rsidRPr="00232A92">
        <w:t>In the event that the symposium collection does not ultimately materialize (</w:t>
      </w:r>
      <w:r w:rsidR="00BA760D" w:rsidRPr="00232A92">
        <w:t>e.g.,</w:t>
      </w:r>
      <w:r w:rsidRPr="00232A92">
        <w:t xml:space="preserve"> due to not meeting the minimum of 3 accepted papers, excl. Foreword), any of the contributions that were accepted for will</w:t>
      </w:r>
      <w:r w:rsidRPr="00232A92">
        <w:rPr>
          <w:lang w:val="en-GB"/>
        </w:rPr>
        <w:t> be published as stand-alone papers.</w:t>
      </w:r>
    </w:p>
    <w:p w14:paraId="20E47153" w14:textId="77777777" w:rsidR="00E53C19" w:rsidRPr="00E53C19" w:rsidRDefault="00232A92" w:rsidP="00E53C19">
      <w:pPr>
        <w:numPr>
          <w:ilvl w:val="0"/>
          <w:numId w:val="2"/>
        </w:numPr>
        <w:rPr>
          <w:lang w:val="en-GB"/>
        </w:rPr>
      </w:pPr>
      <w:r w:rsidRPr="00232A92">
        <w:rPr>
          <w:lang w:val="en-GB"/>
        </w:rPr>
        <w:t>Once all the </w:t>
      </w:r>
      <w:r w:rsidRPr="00232A92">
        <w:t xml:space="preserve">symposium </w:t>
      </w:r>
      <w:r w:rsidRPr="00232A92">
        <w:rPr>
          <w:lang w:val="en-GB"/>
        </w:rPr>
        <w:t>contributions have been accepted, the </w:t>
      </w:r>
      <w:r w:rsidRPr="00232A92">
        <w:t xml:space="preserve">symposium </w:t>
      </w:r>
      <w:r w:rsidRPr="00232A92">
        <w:rPr>
          <w:lang w:val="en-GB"/>
        </w:rPr>
        <w:t>convenor(s) will draft a </w:t>
      </w:r>
      <w:r w:rsidRPr="00232A92">
        <w:t xml:space="preserve">symposium </w:t>
      </w:r>
      <w:r w:rsidRPr="00232A92">
        <w:rPr>
          <w:lang w:val="en-GB"/>
        </w:rPr>
        <w:t>Foreword, to introduce and briefly discuss the contributions to the </w:t>
      </w:r>
      <w:r w:rsidRPr="00232A92">
        <w:t>symposium</w:t>
      </w:r>
      <w:r w:rsidRPr="00232A92">
        <w:rPr>
          <w:lang w:val="en-GB"/>
        </w:rPr>
        <w:t>, as well as the overlapping themes and connections</w:t>
      </w:r>
      <w:r w:rsidRPr="00232A92">
        <w:t> and complementarity</w:t>
      </w:r>
      <w:r w:rsidRPr="00232A92">
        <w:rPr>
          <w:lang w:val="en-GB"/>
        </w:rPr>
        <w:t> between the pieces</w:t>
      </w:r>
      <w:r w:rsidRPr="00232A92">
        <w:t>, and to provide</w:t>
      </w:r>
      <w:r w:rsidRPr="00232A92">
        <w:rPr>
          <w:lang w:val="en-GB"/>
        </w:rPr>
        <w:t> </w:t>
      </w:r>
      <w:r w:rsidRPr="00232A92">
        <w:t>some </w:t>
      </w:r>
      <w:r w:rsidRPr="00232A92">
        <w:rPr>
          <w:lang w:val="en-GB"/>
        </w:rPr>
        <w:t>theoretical framing in which the respective </w:t>
      </w:r>
      <w:r w:rsidRPr="00232A92">
        <w:t xml:space="preserve">symposium </w:t>
      </w:r>
      <w:r w:rsidRPr="00232A92">
        <w:rPr>
          <w:lang w:val="en-GB"/>
        </w:rPr>
        <w:t>articles can be situated.</w:t>
      </w:r>
      <w:r w:rsidRPr="00232A92">
        <w:t> </w:t>
      </w:r>
    </w:p>
    <w:p w14:paraId="3CB8E9FC" w14:textId="6A08D99D" w:rsidR="00232A92" w:rsidRPr="00E53C19" w:rsidRDefault="00BA760D" w:rsidP="00E53C19">
      <w:pPr>
        <w:numPr>
          <w:ilvl w:val="0"/>
          <w:numId w:val="2"/>
        </w:numPr>
        <w:rPr>
          <w:lang w:val="en-GB"/>
        </w:rPr>
      </w:pPr>
      <w:r>
        <w:rPr>
          <w:lang w:val="en-GB"/>
        </w:rPr>
        <w:t>A</w:t>
      </w:r>
      <w:r w:rsidRPr="00232A92">
        <w:rPr>
          <w:lang w:val="en-GB"/>
        </w:rPr>
        <w:t>uthors</w:t>
      </w:r>
      <w:r w:rsidR="00E53C19" w:rsidRPr="00232A92">
        <w:rPr>
          <w:lang w:val="en-GB"/>
        </w:rPr>
        <w:t xml:space="preserve"> are encouraged to carefully review </w:t>
      </w:r>
      <w:r w:rsidR="00E53C19" w:rsidRPr="00232A92">
        <w:t>TEL’s </w:t>
      </w:r>
      <w:hyperlink r:id="rId14" w:tooltip="https://eur03.safelinks.protection.outlook.com/?url=https%3A%2F%2Fwww.cambridge.org%2Fcore%2Fjournals%2Ftransnational-environmental-law%2Finformation%2Finstructions-contributors&amp;data=05%7C02%7Cjosephine.vanzeben%40wur.nl%7C51daa4d884f54529001708dc18cc3edd" w:history="1">
        <w:r w:rsidR="00E53C19" w:rsidRPr="00232A92">
          <w:rPr>
            <w:rStyle w:val="Hyperlink"/>
          </w:rPr>
          <w:t>Instructions for Contributors</w:t>
        </w:r>
      </w:hyperlink>
      <w:r w:rsidR="00E53C19" w:rsidRPr="00232A92">
        <w:t> when preparing their manuscript for submission;</w:t>
      </w:r>
    </w:p>
    <w:p w14:paraId="1295C58F" w14:textId="6394728F" w:rsidR="00987485" w:rsidRPr="00232A92" w:rsidRDefault="00987485" w:rsidP="00987485">
      <w:pPr>
        <w:pStyle w:val="Heading1"/>
        <w:rPr>
          <w:b/>
          <w:bCs/>
          <w:lang w:val="en-GB"/>
        </w:rPr>
      </w:pPr>
      <w:r w:rsidRPr="00232A92">
        <w:rPr>
          <w:b/>
          <w:bCs/>
          <w:lang w:val="en-GB"/>
        </w:rPr>
        <w:t>Timeline</w:t>
      </w:r>
      <w:bookmarkEnd w:id="0"/>
    </w:p>
    <w:tbl>
      <w:tblPr>
        <w:tblStyle w:val="TableGrid"/>
        <w:tblW w:w="0" w:type="auto"/>
        <w:tblLook w:val="04A0" w:firstRow="1" w:lastRow="0" w:firstColumn="1" w:lastColumn="0" w:noHBand="0" w:noVBand="1"/>
      </w:tblPr>
      <w:tblGrid>
        <w:gridCol w:w="6658"/>
        <w:gridCol w:w="2358"/>
      </w:tblGrid>
      <w:tr w:rsidR="00987485" w:rsidRPr="00B465C1" w14:paraId="4685F12F" w14:textId="77777777" w:rsidTr="009E0C71">
        <w:tc>
          <w:tcPr>
            <w:tcW w:w="6658" w:type="dxa"/>
            <w:shd w:val="clear" w:color="auto" w:fill="000000" w:themeFill="text1"/>
          </w:tcPr>
          <w:p w14:paraId="16C8C310" w14:textId="77777777" w:rsidR="00987485" w:rsidRPr="00B465C1" w:rsidRDefault="00987485" w:rsidP="009E0C71">
            <w:pPr>
              <w:rPr>
                <w:b/>
                <w:color w:val="FFFFFF" w:themeColor="background1"/>
                <w:lang w:val="en-GB"/>
              </w:rPr>
            </w:pPr>
            <w:r w:rsidRPr="00B465C1">
              <w:rPr>
                <w:b/>
                <w:color w:val="FFFFFF" w:themeColor="background1"/>
                <w:lang w:val="en-GB"/>
              </w:rPr>
              <w:t>Action</w:t>
            </w:r>
          </w:p>
        </w:tc>
        <w:tc>
          <w:tcPr>
            <w:tcW w:w="2358" w:type="dxa"/>
            <w:shd w:val="clear" w:color="auto" w:fill="000000" w:themeFill="text1"/>
          </w:tcPr>
          <w:p w14:paraId="2EEFF48F" w14:textId="77777777" w:rsidR="00987485" w:rsidRPr="00B465C1" w:rsidRDefault="00987485" w:rsidP="009E0C71">
            <w:pPr>
              <w:rPr>
                <w:b/>
                <w:color w:val="FFFFFF" w:themeColor="background1"/>
                <w:lang w:val="en-GB"/>
              </w:rPr>
            </w:pPr>
            <w:r w:rsidRPr="00B465C1">
              <w:rPr>
                <w:b/>
                <w:color w:val="FFFFFF" w:themeColor="background1"/>
                <w:lang w:val="en-GB"/>
              </w:rPr>
              <w:t>Deadline</w:t>
            </w:r>
          </w:p>
        </w:tc>
      </w:tr>
      <w:tr w:rsidR="00987485" w14:paraId="13F53526" w14:textId="77777777" w:rsidTr="009E0C71">
        <w:tc>
          <w:tcPr>
            <w:tcW w:w="6658" w:type="dxa"/>
          </w:tcPr>
          <w:p w14:paraId="1B826CBF" w14:textId="3C9B2C5B" w:rsidR="00987485" w:rsidRPr="00B465C1" w:rsidRDefault="00987485" w:rsidP="009E0C71">
            <w:pPr>
              <w:rPr>
                <w:lang w:val="en-GB"/>
              </w:rPr>
            </w:pPr>
            <w:r>
              <w:rPr>
                <w:lang w:val="en-GB"/>
              </w:rPr>
              <w:t>Paper submission deadline</w:t>
            </w:r>
          </w:p>
        </w:tc>
        <w:tc>
          <w:tcPr>
            <w:tcW w:w="2358" w:type="dxa"/>
          </w:tcPr>
          <w:p w14:paraId="7592989A" w14:textId="6BBB5A23" w:rsidR="00987485" w:rsidRDefault="00987485" w:rsidP="009E0C71">
            <w:pPr>
              <w:rPr>
                <w:lang w:val="en-GB"/>
              </w:rPr>
            </w:pPr>
            <w:r>
              <w:rPr>
                <w:lang w:val="en-GB"/>
              </w:rPr>
              <w:t>13 January 2025</w:t>
            </w:r>
          </w:p>
        </w:tc>
      </w:tr>
      <w:tr w:rsidR="00987485" w14:paraId="74433A17" w14:textId="77777777" w:rsidTr="009E0C71">
        <w:tc>
          <w:tcPr>
            <w:tcW w:w="6658" w:type="dxa"/>
          </w:tcPr>
          <w:p w14:paraId="4104A72E" w14:textId="112E9BA5" w:rsidR="00987485" w:rsidRDefault="00E53C19" w:rsidP="009E0C71">
            <w:pPr>
              <w:rPr>
                <w:lang w:val="en-GB"/>
              </w:rPr>
            </w:pPr>
            <w:r>
              <w:rPr>
                <w:lang w:val="en-GB"/>
              </w:rPr>
              <w:t xml:space="preserve">Convenor </w:t>
            </w:r>
            <w:r w:rsidR="00987485">
              <w:rPr>
                <w:lang w:val="en-GB"/>
              </w:rPr>
              <w:t>Feedback to authors together with notification of decision</w:t>
            </w:r>
          </w:p>
        </w:tc>
        <w:tc>
          <w:tcPr>
            <w:tcW w:w="2358" w:type="dxa"/>
          </w:tcPr>
          <w:p w14:paraId="6A8E6846" w14:textId="2CE10722" w:rsidR="00987485" w:rsidRDefault="00987485" w:rsidP="009E0C71">
            <w:pPr>
              <w:rPr>
                <w:lang w:val="en-GB"/>
              </w:rPr>
            </w:pPr>
            <w:r>
              <w:rPr>
                <w:lang w:val="en-GB"/>
              </w:rPr>
              <w:t>17 March 2025</w:t>
            </w:r>
          </w:p>
        </w:tc>
      </w:tr>
      <w:tr w:rsidR="00987485" w14:paraId="2A81E88A" w14:textId="77777777" w:rsidTr="009E0C71">
        <w:tc>
          <w:tcPr>
            <w:tcW w:w="6658" w:type="dxa"/>
          </w:tcPr>
          <w:p w14:paraId="52187D70" w14:textId="1F1A00F2" w:rsidR="00987485" w:rsidRPr="00B465C1" w:rsidRDefault="00987485" w:rsidP="009E0C71">
            <w:pPr>
              <w:rPr>
                <w:lang w:val="en-GB"/>
              </w:rPr>
            </w:pPr>
            <w:r>
              <w:rPr>
                <w:lang w:val="en-GB"/>
              </w:rPr>
              <w:t xml:space="preserve">Submission to </w:t>
            </w:r>
            <w:r w:rsidRPr="00987485">
              <w:rPr>
                <w:i/>
                <w:lang w:val="en-GB"/>
              </w:rPr>
              <w:t>Transnational Environmental Law</w:t>
            </w:r>
            <w:r w:rsidRPr="00B465C1">
              <w:rPr>
                <w:i/>
                <w:lang w:val="en-GB"/>
              </w:rPr>
              <w:t xml:space="preserve"> </w:t>
            </w:r>
            <w:r w:rsidRPr="00987485">
              <w:rPr>
                <w:iCs/>
                <w:lang w:val="en-GB"/>
              </w:rPr>
              <w:t>for publication</w:t>
            </w:r>
            <w:r w:rsidRPr="00987485">
              <w:rPr>
                <w:i/>
                <w:lang w:val="en-GB"/>
              </w:rPr>
              <w:t xml:space="preserve"> </w:t>
            </w:r>
          </w:p>
        </w:tc>
        <w:tc>
          <w:tcPr>
            <w:tcW w:w="2358" w:type="dxa"/>
          </w:tcPr>
          <w:p w14:paraId="10911FE9" w14:textId="600800C5" w:rsidR="00987485" w:rsidRDefault="00987485" w:rsidP="009E0C71">
            <w:pPr>
              <w:rPr>
                <w:lang w:val="en-GB"/>
              </w:rPr>
            </w:pPr>
            <w:r>
              <w:rPr>
                <w:lang w:val="en-GB"/>
              </w:rPr>
              <w:t>12 May 2025</w:t>
            </w:r>
          </w:p>
        </w:tc>
      </w:tr>
    </w:tbl>
    <w:p w14:paraId="5E51F67C" w14:textId="0969D103" w:rsidR="00232A92" w:rsidRDefault="00232A92"/>
    <w:p w14:paraId="53A7C217" w14:textId="601A70E4" w:rsidR="00232A92" w:rsidRPr="00987485" w:rsidRDefault="00E53C19" w:rsidP="00232A92">
      <w:pPr>
        <w:rPr>
          <w:b/>
          <w:bCs/>
          <w:lang w:val="en-GB"/>
        </w:rPr>
      </w:pPr>
      <w:r>
        <w:rPr>
          <w:b/>
          <w:bCs/>
          <w:lang w:val="en-GB"/>
        </w:rPr>
        <w:t xml:space="preserve">Symposium Convenors </w:t>
      </w:r>
    </w:p>
    <w:p w14:paraId="65CDCF2F" w14:textId="77777777" w:rsidR="00232A92" w:rsidRPr="009F083A" w:rsidRDefault="00232A92" w:rsidP="00232A92">
      <w:pPr>
        <w:rPr>
          <w:lang w:val="en-GB"/>
        </w:rPr>
      </w:pPr>
      <w:r w:rsidRPr="009F083A">
        <w:rPr>
          <w:lang w:val="en-GB"/>
        </w:rPr>
        <w:lastRenderedPageBreak/>
        <w:t>Dr Feja Lesniewska, University of Surrey, UK</w:t>
      </w:r>
    </w:p>
    <w:p w14:paraId="23922E52" w14:textId="77777777" w:rsidR="00232A92" w:rsidRPr="009F083A" w:rsidRDefault="00232A92" w:rsidP="00232A92">
      <w:pPr>
        <w:rPr>
          <w:lang w:val="en-GB"/>
        </w:rPr>
      </w:pPr>
      <w:r w:rsidRPr="009F083A">
        <w:rPr>
          <w:lang w:val="en-GB"/>
        </w:rPr>
        <w:t>Dr Michael Picard, University of Edinburgh, UK</w:t>
      </w:r>
    </w:p>
    <w:p w14:paraId="3A07B703" w14:textId="77777777" w:rsidR="00232A92" w:rsidRPr="00987485" w:rsidRDefault="00232A92" w:rsidP="00232A92">
      <w:pPr>
        <w:rPr>
          <w:lang w:val="nl-NL"/>
        </w:rPr>
      </w:pPr>
      <w:r w:rsidRPr="00BD6866">
        <w:rPr>
          <w:lang w:val="nl-NL"/>
        </w:rPr>
        <w:t>Dr Katrien Steenmans, University of Copenhagen, DENMARK</w:t>
      </w:r>
    </w:p>
    <w:p w14:paraId="1CAE5752" w14:textId="77777777" w:rsidR="00845CB9" w:rsidRPr="00845CB9" w:rsidRDefault="00845CB9" w:rsidP="00845CB9">
      <w:pPr>
        <w:rPr>
          <w:lang w:val="nl-NL"/>
        </w:rPr>
      </w:pPr>
      <w:r w:rsidRPr="00845CB9">
        <w:rPr>
          <w:lang w:val="nl-NL"/>
        </w:rPr>
        <w:t>With the generous support of the Edinburgh–Copenhagen Strategic Partnership Award</w:t>
      </w:r>
    </w:p>
    <w:p w14:paraId="3B840B06" w14:textId="77777777" w:rsidR="00232A92" w:rsidRPr="00232A92" w:rsidRDefault="00232A92">
      <w:pPr>
        <w:rPr>
          <w:lang w:val="nl-NL"/>
        </w:rPr>
      </w:pPr>
    </w:p>
    <w:sectPr w:rsidR="00232A92" w:rsidRPr="00232A9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D597" w14:textId="77777777" w:rsidR="00730899" w:rsidRDefault="00730899" w:rsidP="00987485">
      <w:pPr>
        <w:spacing w:after="0" w:line="240" w:lineRule="auto"/>
      </w:pPr>
      <w:r>
        <w:separator/>
      </w:r>
    </w:p>
  </w:endnote>
  <w:endnote w:type="continuationSeparator" w:id="0">
    <w:p w14:paraId="607BB664" w14:textId="77777777" w:rsidR="00730899" w:rsidRDefault="00730899" w:rsidP="0098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44448"/>
      <w:docPartObj>
        <w:docPartGallery w:val="Page Numbers (Bottom of Page)"/>
        <w:docPartUnique/>
      </w:docPartObj>
    </w:sdtPr>
    <w:sdtEndPr>
      <w:rPr>
        <w:noProof/>
      </w:rPr>
    </w:sdtEndPr>
    <w:sdtContent>
      <w:p w14:paraId="10E238E7" w14:textId="77777777" w:rsidR="00D01A61" w:rsidRDefault="005539F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1ADC005" w14:textId="77777777" w:rsidR="00D01A61" w:rsidRDefault="00730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CFB5" w14:textId="77777777" w:rsidR="00730899" w:rsidRDefault="00730899" w:rsidP="00987485">
      <w:pPr>
        <w:spacing w:after="0" w:line="240" w:lineRule="auto"/>
      </w:pPr>
      <w:r>
        <w:separator/>
      </w:r>
    </w:p>
  </w:footnote>
  <w:footnote w:type="continuationSeparator" w:id="0">
    <w:p w14:paraId="2AE9154C" w14:textId="77777777" w:rsidR="00730899" w:rsidRDefault="00730899" w:rsidP="00987485">
      <w:pPr>
        <w:spacing w:after="0" w:line="240" w:lineRule="auto"/>
      </w:pPr>
      <w:r>
        <w:continuationSeparator/>
      </w:r>
    </w:p>
  </w:footnote>
  <w:footnote w:id="1">
    <w:p w14:paraId="4F5E2464" w14:textId="73417E6E" w:rsidR="00987485" w:rsidRPr="00716ADA" w:rsidRDefault="00987485" w:rsidP="00987485">
      <w:pPr>
        <w:pStyle w:val="FootnoteText"/>
      </w:pPr>
      <w:r>
        <w:rPr>
          <w:rStyle w:val="FootnoteReference"/>
        </w:rPr>
        <w:footnoteRef/>
      </w:r>
      <w:r>
        <w:t xml:space="preserve"> </w:t>
      </w:r>
      <w:r w:rsidRPr="00BD6866">
        <w:t xml:space="preserve">United Nations Environment Programme (2024), </w:t>
      </w:r>
      <w:r w:rsidRPr="005A2FF3">
        <w:rPr>
          <w:i/>
        </w:rPr>
        <w:t xml:space="preserve">Global Resources Outlook 2024: Bend the Trend – Pathways to a </w:t>
      </w:r>
      <w:r w:rsidR="00E93FB3" w:rsidRPr="005A2FF3">
        <w:rPr>
          <w:i/>
        </w:rPr>
        <w:t>livable</w:t>
      </w:r>
      <w:r w:rsidRPr="005A2FF3">
        <w:rPr>
          <w:i/>
        </w:rPr>
        <w:t xml:space="preserve"> planet as resource use spikes. International Resource Panel</w:t>
      </w:r>
      <w:r>
        <w:t xml:space="preserve"> (UNEP, 2024)</w:t>
      </w:r>
      <w:r w:rsidRPr="00BD6866">
        <w:t>.</w:t>
      </w:r>
    </w:p>
  </w:footnote>
  <w:footnote w:id="2">
    <w:p w14:paraId="4183DB8A" w14:textId="211AE753" w:rsidR="00987485" w:rsidRPr="00BD6866" w:rsidRDefault="00987485" w:rsidP="00987485">
      <w:pPr>
        <w:pStyle w:val="FootnoteText"/>
        <w:rPr>
          <w:lang w:val="en-GB"/>
        </w:rPr>
      </w:pPr>
      <w:r>
        <w:rPr>
          <w:rStyle w:val="FootnoteReference"/>
        </w:rPr>
        <w:footnoteRef/>
      </w:r>
      <w:r>
        <w:t xml:space="preserve"> </w:t>
      </w:r>
      <w:r>
        <w:rPr>
          <w:lang w:val="en-GB"/>
        </w:rPr>
        <w:t>L.</w:t>
      </w:r>
      <w:r w:rsidRPr="00BD6866">
        <w:rPr>
          <w:lang w:val="en-GB"/>
        </w:rPr>
        <w:t xml:space="preserve"> du Toit </w:t>
      </w:r>
      <w:r>
        <w:rPr>
          <w:lang w:val="en-GB"/>
        </w:rPr>
        <w:t>&amp;</w:t>
      </w:r>
      <w:r w:rsidRPr="00BD6866">
        <w:rPr>
          <w:lang w:val="en-GB"/>
        </w:rPr>
        <w:t xml:space="preserve"> </w:t>
      </w:r>
      <w:r>
        <w:rPr>
          <w:lang w:val="en-GB"/>
        </w:rPr>
        <w:t>L.</w:t>
      </w:r>
      <w:r w:rsidRPr="00BD6866">
        <w:rPr>
          <w:lang w:val="en-GB"/>
        </w:rPr>
        <w:t xml:space="preserve"> Kotzé, ‘Reimagining International Environmental Law for the Anthropocene: An Earth System Law Perspective’ (2022) 11 </w:t>
      </w:r>
      <w:r w:rsidRPr="005A2FF3">
        <w:rPr>
          <w:i/>
          <w:lang w:val="en-GB"/>
        </w:rPr>
        <w:t>Earth System Governance</w:t>
      </w:r>
      <w:r>
        <w:rPr>
          <w:i/>
          <w:lang w:val="en-GB"/>
        </w:rPr>
        <w:t>,</w:t>
      </w:r>
      <w:r w:rsidRPr="00BD6866">
        <w:rPr>
          <w:lang w:val="en-GB"/>
        </w:rPr>
        <w:t xml:space="preserve"> </w:t>
      </w:r>
      <w:r>
        <w:rPr>
          <w:lang w:val="en-GB"/>
        </w:rPr>
        <w:t>e</w:t>
      </w:r>
      <w:r w:rsidRPr="00BD6866">
        <w:rPr>
          <w:lang w:val="en-GB"/>
        </w:rPr>
        <w:t>100132.</w:t>
      </w:r>
    </w:p>
  </w:footnote>
  <w:footnote w:id="3">
    <w:p w14:paraId="7A8A0270" w14:textId="77777777" w:rsidR="00987485" w:rsidRPr="00BD6866" w:rsidRDefault="00987485" w:rsidP="00987485">
      <w:pPr>
        <w:pStyle w:val="FootnoteText"/>
      </w:pPr>
      <w:r>
        <w:rPr>
          <w:rStyle w:val="FootnoteReference"/>
        </w:rPr>
        <w:footnoteRef/>
      </w:r>
      <w:r>
        <w:t xml:space="preserve"> E.</w:t>
      </w:r>
      <w:r w:rsidRPr="00BD6866">
        <w:t xml:space="preserve"> Conway, </w:t>
      </w:r>
      <w:r w:rsidRPr="005A2FF3">
        <w:rPr>
          <w:i/>
        </w:rPr>
        <w:t>Material World: A Substantial Story of Our Past and Future</w:t>
      </w:r>
      <w:r w:rsidRPr="00BD6866">
        <w:t xml:space="preserve"> (Random</w:t>
      </w:r>
      <w:r>
        <w:t>,</w:t>
      </w:r>
      <w:r w:rsidRPr="00BD6866">
        <w:t xml:space="preserve"> House 2023)</w:t>
      </w:r>
      <w:r>
        <w:t>.</w:t>
      </w:r>
    </w:p>
  </w:footnote>
  <w:footnote w:id="4">
    <w:p w14:paraId="1B8C8391" w14:textId="77777777" w:rsidR="00987485" w:rsidRPr="00BD6866" w:rsidRDefault="00987485" w:rsidP="00987485">
      <w:pPr>
        <w:pStyle w:val="FootnoteText"/>
      </w:pPr>
      <w:r>
        <w:rPr>
          <w:rStyle w:val="FootnoteReference"/>
        </w:rPr>
        <w:footnoteRef/>
      </w:r>
      <w:r>
        <w:t xml:space="preserve"> </w:t>
      </w:r>
      <w:r>
        <w:rPr>
          <w:lang w:val="en-GB"/>
        </w:rPr>
        <w:t>M.</w:t>
      </w:r>
      <w:r w:rsidRPr="00BD6866">
        <w:rPr>
          <w:lang w:val="en-GB"/>
        </w:rPr>
        <w:t xml:space="preserve"> Giampietro </w:t>
      </w:r>
      <w:r>
        <w:rPr>
          <w:lang w:val="en-GB"/>
        </w:rPr>
        <w:t>&amp;</w:t>
      </w:r>
      <w:r w:rsidRPr="00BD6866">
        <w:rPr>
          <w:lang w:val="en-GB"/>
        </w:rPr>
        <w:t xml:space="preserve"> </w:t>
      </w:r>
      <w:r>
        <w:rPr>
          <w:lang w:val="en-GB"/>
        </w:rPr>
        <w:t>S. O.</w:t>
      </w:r>
      <w:r w:rsidRPr="00BD6866">
        <w:rPr>
          <w:lang w:val="en-GB"/>
        </w:rPr>
        <w:t xml:space="preserve"> Funtowicz, ‘From elite folk science to the policy legend of the circular economy’ (2020) 109 </w:t>
      </w:r>
      <w:r w:rsidRPr="005A2FF3">
        <w:rPr>
          <w:i/>
          <w:lang w:val="en-GB"/>
        </w:rPr>
        <w:t>Environmental Science and Policy</w:t>
      </w:r>
      <w:r>
        <w:rPr>
          <w:i/>
          <w:lang w:val="en-GB"/>
        </w:rPr>
        <w:t>,</w:t>
      </w:r>
      <w:r w:rsidRPr="00BD6866">
        <w:rPr>
          <w:lang w:val="en-GB"/>
        </w:rPr>
        <w:t xml:space="preserve"> </w:t>
      </w:r>
      <w:r>
        <w:rPr>
          <w:lang w:val="en-GB"/>
        </w:rPr>
        <w:t>pp.</w:t>
      </w:r>
      <w:r w:rsidRPr="00BD6866">
        <w:rPr>
          <w:lang w:val="en-GB"/>
        </w:rPr>
        <w:t>64</w:t>
      </w:r>
      <w:r>
        <w:rPr>
          <w:lang w:val="en-GB"/>
        </w:rPr>
        <w:t>-72</w:t>
      </w:r>
    </w:p>
  </w:footnote>
  <w:footnote w:id="5">
    <w:p w14:paraId="78A01555" w14:textId="77777777" w:rsidR="00987485" w:rsidRPr="00F13235" w:rsidRDefault="00987485" w:rsidP="00987485">
      <w:pPr>
        <w:pStyle w:val="FootnoteText"/>
        <w:rPr>
          <w:lang w:val="da-DK"/>
        </w:rPr>
      </w:pPr>
      <w:r>
        <w:rPr>
          <w:rStyle w:val="FootnoteReference"/>
        </w:rPr>
        <w:footnoteRef/>
      </w:r>
      <w:r>
        <w:t xml:space="preserve"> K. </w:t>
      </w:r>
      <w:r>
        <w:rPr>
          <w:lang w:val="da-DK"/>
        </w:rPr>
        <w:t xml:space="preserve">Hobson, ’Closing the Loop or Squaring the Circule? Locating the Generative Spaces for the Circular Economy’ (2016) 40(1) </w:t>
      </w:r>
      <w:r w:rsidRPr="005A2FF3">
        <w:rPr>
          <w:i/>
          <w:lang w:val="da-DK"/>
        </w:rPr>
        <w:t>Progress in Human Geography</w:t>
      </w:r>
      <w:r>
        <w:rPr>
          <w:i/>
          <w:lang w:val="da-DK"/>
        </w:rPr>
        <w:t>,</w:t>
      </w:r>
      <w:r>
        <w:rPr>
          <w:lang w:val="da-DK"/>
        </w:rPr>
        <w:t xml:space="preserve"> pp.88-104; A. Genovese &amp; M. Pansera, ’The Circular Economy at a Crossroad: Technocratic Eco-modernism or Convivial Technology for Social Revolution’ (2019) 32(2) </w:t>
      </w:r>
      <w:r w:rsidRPr="005A2FF3">
        <w:rPr>
          <w:i/>
          <w:lang w:val="da-DK"/>
        </w:rPr>
        <w:t>Capitalism Nature Socialism</w:t>
      </w:r>
      <w:r>
        <w:rPr>
          <w:i/>
          <w:lang w:val="da-DK"/>
        </w:rPr>
        <w:t>,</w:t>
      </w:r>
      <w:r>
        <w:rPr>
          <w:lang w:val="da-DK"/>
        </w:rPr>
        <w:t xml:space="preserve"> pp.95-113; F. Lesniewska &amp; K. Steenmans, </w:t>
      </w:r>
      <w:r>
        <w:rPr>
          <w:i/>
          <w:lang w:val="da-DK"/>
        </w:rPr>
        <w:t xml:space="preserve">Circular Economy and the Law: Bringing Justice into the Frame </w:t>
      </w:r>
      <w:r>
        <w:rPr>
          <w:lang w:val="da-DK"/>
        </w:rPr>
        <w:t>(Routledge, 2023) at 64.</w:t>
      </w:r>
    </w:p>
  </w:footnote>
  <w:footnote w:id="6">
    <w:p w14:paraId="305F5EE8" w14:textId="154524BD" w:rsidR="00987485" w:rsidRPr="00716ADA" w:rsidRDefault="00987485" w:rsidP="00987485">
      <w:pPr>
        <w:pStyle w:val="FootnoteText"/>
      </w:pPr>
      <w:r>
        <w:rPr>
          <w:rStyle w:val="FootnoteReference"/>
        </w:rPr>
        <w:footnoteRef/>
      </w:r>
      <w:r>
        <w:t xml:space="preserve"> UNIDO, </w:t>
      </w:r>
      <w:r w:rsidRPr="005A2FF3">
        <w:rPr>
          <w:i/>
        </w:rPr>
        <w:t>National Circular Economy Roadmaps: A global stocktake for 2024</w:t>
      </w:r>
      <w:r>
        <w:t xml:space="preserve"> (UNIDO, 2024</w:t>
      </w:r>
      <w:r w:rsidR="00E93FB3">
        <w:t xml:space="preserve">),  </w:t>
      </w:r>
      <w:r>
        <w:t xml:space="preserve">                               available at: </w:t>
      </w:r>
      <w:r w:rsidRPr="00716ADA">
        <w:t>https://www.unido.org/sites/default/files/unido-publications/2024-05/UNIDO_National%20circular%20economy%20roadmaps_v07.pdf</w:t>
      </w:r>
      <w:r>
        <w:t>.</w:t>
      </w:r>
    </w:p>
  </w:footnote>
  <w:footnote w:id="7">
    <w:p w14:paraId="55C8BC07" w14:textId="77777777" w:rsidR="00987485" w:rsidRPr="00046614" w:rsidRDefault="00987485" w:rsidP="00987485">
      <w:pPr>
        <w:pStyle w:val="FootnoteText"/>
      </w:pPr>
      <w:r>
        <w:rPr>
          <w:rStyle w:val="FootnoteReference"/>
        </w:rPr>
        <w:footnoteRef/>
      </w:r>
      <w:r>
        <w:t xml:space="preserve"> Circle Economy Foundation, </w:t>
      </w:r>
      <w:r w:rsidRPr="005A2FF3">
        <w:rPr>
          <w:i/>
        </w:rPr>
        <w:t>The Circularity Gap Report 2023</w:t>
      </w:r>
      <w:r w:rsidRPr="0086795B">
        <w:t xml:space="preserve">, </w:t>
      </w:r>
      <w:r>
        <w:t xml:space="preserve">available at: </w:t>
      </w:r>
      <w:r w:rsidRPr="0086795B">
        <w:t>https://www.circularity-gap.world/2023.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406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3E11A2"/>
    <w:multiLevelType w:val="multilevel"/>
    <w:tmpl w:val="3D705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85"/>
    <w:rsid w:val="00232A92"/>
    <w:rsid w:val="003414D7"/>
    <w:rsid w:val="005539F4"/>
    <w:rsid w:val="00730899"/>
    <w:rsid w:val="00845CB9"/>
    <w:rsid w:val="00987485"/>
    <w:rsid w:val="009F20FA"/>
    <w:rsid w:val="00AC2A06"/>
    <w:rsid w:val="00B63B18"/>
    <w:rsid w:val="00BA760D"/>
    <w:rsid w:val="00E53C19"/>
    <w:rsid w:val="00E9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B92C"/>
  <w15:chartTrackingRefBased/>
  <w15:docId w15:val="{C3D74FA3-1ED7-4CCB-B720-44EEF76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85"/>
    <w:pPr>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987485"/>
    <w:pPr>
      <w:keepNext/>
      <w:keepLines/>
      <w:spacing w:before="360" w:after="80"/>
      <w:outlineLvl w:val="0"/>
    </w:pPr>
    <w:rPr>
      <w:rFonts w:eastAsiaTheme="majorEastAsia" w:cstheme="majorBidi"/>
      <w:sz w:val="32"/>
      <w:szCs w:val="40"/>
    </w:rPr>
  </w:style>
  <w:style w:type="paragraph" w:styleId="Heading2">
    <w:name w:val="heading 2"/>
    <w:basedOn w:val="Normal"/>
    <w:next w:val="Normal"/>
    <w:link w:val="Heading2Char"/>
    <w:uiPriority w:val="9"/>
    <w:semiHidden/>
    <w:unhideWhenUsed/>
    <w:qFormat/>
    <w:rsid w:val="00987485"/>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98748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485"/>
    <w:rPr>
      <w:rFonts w:ascii="Times New Roman" w:eastAsiaTheme="majorEastAsia" w:hAnsi="Times New Roman" w:cstheme="majorBidi"/>
      <w:sz w:val="32"/>
      <w:szCs w:val="40"/>
      <w:lang w:val="en-US"/>
    </w:rPr>
  </w:style>
  <w:style w:type="character" w:customStyle="1" w:styleId="Heading2Char">
    <w:name w:val="Heading 2 Char"/>
    <w:basedOn w:val="DefaultParagraphFont"/>
    <w:link w:val="Heading2"/>
    <w:uiPriority w:val="9"/>
    <w:semiHidden/>
    <w:rsid w:val="00987485"/>
    <w:rPr>
      <w:rFonts w:ascii="Times New Roman" w:eastAsiaTheme="majorEastAsia" w:hAnsi="Times New Roman" w:cstheme="majorBidi"/>
      <w:sz w:val="28"/>
      <w:szCs w:val="32"/>
      <w:lang w:val="en-US"/>
    </w:rPr>
  </w:style>
  <w:style w:type="character" w:styleId="Hyperlink">
    <w:name w:val="Hyperlink"/>
    <w:basedOn w:val="DefaultParagraphFont"/>
    <w:uiPriority w:val="99"/>
    <w:unhideWhenUsed/>
    <w:rsid w:val="00987485"/>
    <w:rPr>
      <w:color w:val="0563C1" w:themeColor="hyperlink"/>
      <w:u w:val="single"/>
    </w:rPr>
  </w:style>
  <w:style w:type="paragraph" w:styleId="TOC1">
    <w:name w:val="toc 1"/>
    <w:basedOn w:val="Normal"/>
    <w:next w:val="Normal"/>
    <w:autoRedefine/>
    <w:uiPriority w:val="39"/>
    <w:unhideWhenUsed/>
    <w:rsid w:val="00987485"/>
    <w:pPr>
      <w:spacing w:after="100"/>
    </w:pPr>
  </w:style>
  <w:style w:type="paragraph" w:styleId="TOC2">
    <w:name w:val="toc 2"/>
    <w:basedOn w:val="Normal"/>
    <w:next w:val="Normal"/>
    <w:autoRedefine/>
    <w:uiPriority w:val="39"/>
    <w:unhideWhenUsed/>
    <w:rsid w:val="00987485"/>
    <w:pPr>
      <w:spacing w:after="100"/>
      <w:ind w:left="220"/>
    </w:pPr>
  </w:style>
  <w:style w:type="paragraph" w:styleId="TOC3">
    <w:name w:val="toc 3"/>
    <w:basedOn w:val="Normal"/>
    <w:next w:val="Normal"/>
    <w:autoRedefine/>
    <w:uiPriority w:val="39"/>
    <w:unhideWhenUsed/>
    <w:rsid w:val="00987485"/>
    <w:pPr>
      <w:spacing w:after="100"/>
      <w:ind w:left="440"/>
    </w:pPr>
  </w:style>
  <w:style w:type="paragraph" w:styleId="FootnoteText">
    <w:name w:val="footnote text"/>
    <w:basedOn w:val="Normal"/>
    <w:link w:val="FootnoteTextChar"/>
    <w:uiPriority w:val="99"/>
    <w:unhideWhenUsed/>
    <w:rsid w:val="00987485"/>
    <w:pPr>
      <w:spacing w:after="0" w:line="240" w:lineRule="auto"/>
    </w:pPr>
    <w:rPr>
      <w:rFonts w:cstheme="minorBidi"/>
      <w:sz w:val="20"/>
      <w:szCs w:val="20"/>
      <w:u w:color="000000"/>
    </w:rPr>
  </w:style>
  <w:style w:type="character" w:customStyle="1" w:styleId="FootnoteTextChar">
    <w:name w:val="Footnote Text Char"/>
    <w:basedOn w:val="DefaultParagraphFont"/>
    <w:link w:val="FootnoteText"/>
    <w:uiPriority w:val="99"/>
    <w:rsid w:val="00987485"/>
    <w:rPr>
      <w:rFonts w:ascii="Times New Roman" w:hAnsi="Times New Roman"/>
      <w:sz w:val="20"/>
      <w:szCs w:val="20"/>
      <w:u w:color="000000"/>
      <w:lang w:val="en-US"/>
    </w:rPr>
  </w:style>
  <w:style w:type="character" w:styleId="FootnoteReference">
    <w:name w:val="footnote reference"/>
    <w:aliases w:val="JFR-Fußnotenzeichen,*Footnote Reference,Ref,de nota al pie,Fußnotenzeichen unten,fr,[0],stylish"/>
    <w:basedOn w:val="DefaultParagraphFont"/>
    <w:uiPriority w:val="99"/>
    <w:unhideWhenUsed/>
    <w:rsid w:val="00987485"/>
    <w:rPr>
      <w:vertAlign w:val="superscript"/>
    </w:rPr>
  </w:style>
  <w:style w:type="paragraph" w:styleId="ListBullet">
    <w:name w:val="List Bullet"/>
    <w:basedOn w:val="Normal"/>
    <w:uiPriority w:val="99"/>
    <w:unhideWhenUsed/>
    <w:rsid w:val="00987485"/>
    <w:pPr>
      <w:numPr>
        <w:numId w:val="1"/>
      </w:numPr>
      <w:contextualSpacing/>
    </w:pPr>
  </w:style>
  <w:style w:type="table" w:styleId="TableGrid">
    <w:name w:val="Table Grid"/>
    <w:basedOn w:val="TableNormal"/>
    <w:uiPriority w:val="39"/>
    <w:rsid w:val="009874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headings">
    <w:name w:val="Article headings"/>
    <w:basedOn w:val="Heading3"/>
    <w:link w:val="ArticleheadingsChar"/>
    <w:qFormat/>
    <w:rsid w:val="00987485"/>
    <w:pPr>
      <w:spacing w:before="160" w:after="80"/>
    </w:pPr>
    <w:rPr>
      <w:rFonts w:ascii="Times New Roman" w:hAnsi="Times New Roman"/>
    </w:rPr>
  </w:style>
  <w:style w:type="character" w:customStyle="1" w:styleId="ArticleheadingsChar">
    <w:name w:val="Article headings Char"/>
    <w:basedOn w:val="Heading3Char"/>
    <w:link w:val="Articleheadings"/>
    <w:rsid w:val="00987485"/>
    <w:rPr>
      <w:rFonts w:ascii="Times New Roman" w:eastAsiaTheme="majorEastAsia" w:hAnsi="Times New Roman" w:cstheme="majorBidi"/>
      <w:color w:val="1F3763" w:themeColor="accent1" w:themeShade="7F"/>
      <w:sz w:val="24"/>
      <w:szCs w:val="24"/>
      <w:lang w:val="en-US"/>
    </w:rPr>
  </w:style>
  <w:style w:type="paragraph" w:styleId="Footer">
    <w:name w:val="footer"/>
    <w:basedOn w:val="Normal"/>
    <w:link w:val="FooterChar"/>
    <w:uiPriority w:val="99"/>
    <w:unhideWhenUsed/>
    <w:rsid w:val="00987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485"/>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987485"/>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232A92"/>
    <w:rPr>
      <w:color w:val="605E5C"/>
      <w:shd w:val="clear" w:color="auto" w:fill="E1DFDD"/>
    </w:rPr>
  </w:style>
  <w:style w:type="paragraph" w:styleId="ListParagraph">
    <w:name w:val="List Paragraph"/>
    <w:basedOn w:val="Normal"/>
    <w:uiPriority w:val="34"/>
    <w:qFormat/>
    <w:rsid w:val="00E5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819308">
      <w:bodyDiv w:val="1"/>
      <w:marLeft w:val="0"/>
      <w:marRight w:val="0"/>
      <w:marTop w:val="0"/>
      <w:marBottom w:val="0"/>
      <w:divBdr>
        <w:top w:val="none" w:sz="0" w:space="0" w:color="auto"/>
        <w:left w:val="none" w:sz="0" w:space="0" w:color="auto"/>
        <w:bottom w:val="none" w:sz="0" w:space="0" w:color="auto"/>
        <w:right w:val="none" w:sz="0" w:space="0" w:color="auto"/>
      </w:divBdr>
    </w:div>
    <w:div w:id="8260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trien.steenmans@jur.ku.d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picard@ed.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esniewska@surrey.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mbridge.org/core/journals/transnational-environmental-la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ur02.safelinks.protection.outlook.com/?url=https%3A%2F%2Fwww.cambridge.org%2Fcore%2Fjournals%2Ftransnational-environmental-law%2Finformation%2Finstructions-contributors&amp;data=05%7C02%7C%7Cf2ca2b243b354b99d4ac08dc95df10fb%7C2e9f06b016694589878910a06934dc61%7C0%7C0%7C638550032580059097%7CUnknown%7CTWFpbGZsb3d8eyJWIjoiMC4wLjAwMDAiLCJQIjoiV2luMzIiLCJBTiI6Ik1haWwiLCJXVCI6Mn0%3D%7C0%7C%7C%7C&amp;sdata=zmnMO%2BzPbxrtJjUqLJvaxr8WYhz9WNGbDiJz%2BAPpp4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Picard</dc:creator>
  <cp:keywords/>
  <dc:description/>
  <cp:lastModifiedBy>Michael Picard</cp:lastModifiedBy>
  <cp:revision>6</cp:revision>
  <dcterms:created xsi:type="dcterms:W3CDTF">2024-07-02T08:40:00Z</dcterms:created>
  <dcterms:modified xsi:type="dcterms:W3CDTF">2024-10-07T19:08:00Z</dcterms:modified>
</cp:coreProperties>
</file>